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65" w:rsidRDefault="008E5365">
      <w:pPr>
        <w:spacing w:line="246" w:lineRule="auto"/>
        <w:rPr>
          <w:lang w:eastAsia="zh-CN"/>
        </w:rPr>
      </w:pPr>
    </w:p>
    <w:p w:rsidR="008E5365" w:rsidRDefault="00D75AAD">
      <w:pPr>
        <w:spacing w:before="101" w:line="230" w:lineRule="auto"/>
        <w:ind w:left="21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36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1</w:t>
      </w:r>
    </w:p>
    <w:p w:rsidR="008E5365" w:rsidRDefault="008E5365">
      <w:pPr>
        <w:spacing w:line="461" w:lineRule="auto"/>
        <w:rPr>
          <w:lang w:eastAsia="zh-CN"/>
        </w:rPr>
      </w:pPr>
    </w:p>
    <w:p w:rsidR="008E5365" w:rsidRDefault="00D75AAD">
      <w:pPr>
        <w:spacing w:before="167" w:line="208" w:lineRule="auto"/>
        <w:ind w:left="679"/>
        <w:outlineLvl w:val="0"/>
        <w:rPr>
          <w:rFonts w:ascii="FZXiaoBiaoSong-B05S" w:eastAsia="FZXiaoBiaoSong-B05S" w:hAnsi="FZXiaoBiaoSong-B05S" w:cs="FZXiaoBiaoSong-B05S"/>
          <w:sz w:val="43"/>
          <w:szCs w:val="43"/>
          <w:lang w:eastAsia="zh-CN"/>
        </w:rPr>
      </w:pPr>
      <w:bookmarkStart w:id="0" w:name="_GoBack"/>
      <w:r>
        <w:rPr>
          <w:rFonts w:ascii="FZXiaoBiaoSong-B05S" w:eastAsia="FZXiaoBiaoSong-B05S" w:hAnsi="FZXiaoBiaoSong-B05S" w:cs="FZXiaoBiaoSong-B05S"/>
          <w:spacing w:val="9"/>
          <w:sz w:val="43"/>
          <w:szCs w:val="43"/>
          <w:lang w:eastAsia="zh-CN"/>
        </w:rPr>
        <w:t>广东省教育评价改革典型案例</w:t>
      </w:r>
      <w:bookmarkEnd w:id="0"/>
      <w:r>
        <w:rPr>
          <w:rFonts w:ascii="FZXiaoBiaoSong-B05S" w:eastAsia="FZXiaoBiaoSong-B05S" w:hAnsi="FZXiaoBiaoSong-B05S" w:cs="FZXiaoBiaoSong-B05S"/>
          <w:spacing w:val="9"/>
          <w:sz w:val="43"/>
          <w:szCs w:val="43"/>
          <w:lang w:eastAsia="zh-CN"/>
        </w:rPr>
        <w:t>重点选题</w:t>
      </w:r>
    </w:p>
    <w:p w:rsidR="008E5365" w:rsidRDefault="008E5365">
      <w:pPr>
        <w:spacing w:line="270" w:lineRule="auto"/>
        <w:rPr>
          <w:lang w:eastAsia="zh-CN"/>
        </w:rPr>
      </w:pPr>
    </w:p>
    <w:p w:rsidR="008E5365" w:rsidRDefault="008E5365">
      <w:pPr>
        <w:spacing w:line="271" w:lineRule="auto"/>
        <w:rPr>
          <w:lang w:eastAsia="zh-CN"/>
        </w:rPr>
      </w:pPr>
    </w:p>
    <w:p w:rsidR="008E5365" w:rsidRDefault="00D75AAD">
      <w:pPr>
        <w:pStyle w:val="a3"/>
        <w:spacing w:before="101" w:line="276" w:lineRule="auto"/>
        <w:ind w:left="11" w:right="2" w:firstLine="658"/>
        <w:rPr>
          <w:lang w:eastAsia="zh-CN"/>
        </w:rPr>
      </w:pPr>
      <w:r>
        <w:rPr>
          <w:rFonts w:ascii="Times New Roman" w:eastAsia="Times New Roman" w:hAnsi="Times New Roman" w:cs="Times New Roman"/>
          <w:spacing w:val="19"/>
          <w:lang w:eastAsia="zh-CN"/>
        </w:rPr>
        <w:t>1.</w:t>
      </w:r>
      <w:r>
        <w:rPr>
          <w:spacing w:val="19"/>
          <w:lang w:eastAsia="zh-CN"/>
        </w:rPr>
        <w:t>健全地方党政主要负责同志深入教育一线调</w:t>
      </w:r>
      <w:r>
        <w:rPr>
          <w:spacing w:val="18"/>
          <w:lang w:eastAsia="zh-CN"/>
        </w:rPr>
        <w:t>研、为师生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上思政课、联系学校和年终述职必述教育工作等制度。</w:t>
      </w:r>
    </w:p>
    <w:p w:rsidR="008E5365" w:rsidRDefault="00D75AAD">
      <w:pPr>
        <w:pStyle w:val="a3"/>
        <w:spacing w:before="193" w:line="276" w:lineRule="auto"/>
        <w:ind w:left="1" w:firstLine="637"/>
        <w:rPr>
          <w:lang w:eastAsia="zh-CN"/>
        </w:rPr>
      </w:pPr>
      <w:r>
        <w:rPr>
          <w:rFonts w:ascii="Times New Roman" w:eastAsia="Times New Roman" w:hAnsi="Times New Roman" w:cs="Times New Roman"/>
          <w:spacing w:val="16"/>
          <w:lang w:eastAsia="zh-CN"/>
        </w:rPr>
        <w:t>2.</w:t>
      </w:r>
      <w:r>
        <w:rPr>
          <w:rFonts w:ascii="Times New Roman" w:eastAsia="Times New Roman" w:hAnsi="Times New Roman" w:cs="Times New Roman"/>
          <w:spacing w:val="-33"/>
          <w:lang w:eastAsia="zh-CN"/>
        </w:rPr>
        <w:t xml:space="preserve"> </w:t>
      </w:r>
      <w:r>
        <w:rPr>
          <w:spacing w:val="16"/>
          <w:lang w:eastAsia="zh-CN"/>
        </w:rPr>
        <w:t>细化基础教育</w:t>
      </w:r>
      <w:r>
        <w:rPr>
          <w:spacing w:val="16"/>
          <w:lang w:eastAsia="zh-CN"/>
        </w:rPr>
        <w:t>“</w:t>
      </w:r>
      <w:r>
        <w:rPr>
          <w:spacing w:val="-93"/>
          <w:lang w:eastAsia="zh-CN"/>
        </w:rPr>
        <w:t xml:space="preserve"> </w:t>
      </w:r>
      <w:r>
        <w:rPr>
          <w:spacing w:val="16"/>
          <w:lang w:eastAsia="zh-CN"/>
        </w:rPr>
        <w:t>四个质量指南</w:t>
      </w:r>
      <w:r>
        <w:rPr>
          <w:spacing w:val="16"/>
          <w:lang w:eastAsia="zh-CN"/>
        </w:rPr>
        <w:t>”</w:t>
      </w:r>
      <w:r>
        <w:rPr>
          <w:spacing w:val="16"/>
          <w:lang w:eastAsia="zh-CN"/>
        </w:rPr>
        <w:t>评价标准，完善评价结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果发布和运用机制，充分发挥指南的诊断、改进和引导功能。</w:t>
      </w:r>
    </w:p>
    <w:p w:rsidR="008E5365" w:rsidRDefault="00D75AAD">
      <w:pPr>
        <w:pStyle w:val="a3"/>
        <w:spacing w:before="191" w:line="219" w:lineRule="auto"/>
        <w:ind w:left="645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>3.</w:t>
      </w:r>
      <w:r>
        <w:rPr>
          <w:rFonts w:ascii="Times New Roman" w:eastAsia="Times New Roman" w:hAnsi="Times New Roman" w:cs="Times New Roman"/>
          <w:spacing w:val="-39"/>
          <w:lang w:eastAsia="zh-CN"/>
        </w:rPr>
        <w:t xml:space="preserve"> </w:t>
      </w:r>
      <w:r>
        <w:rPr>
          <w:spacing w:val="3"/>
          <w:lang w:eastAsia="zh-CN"/>
        </w:rPr>
        <w:t>强化中考育人导向。</w:t>
      </w:r>
    </w:p>
    <w:p w:rsidR="008E5365" w:rsidRDefault="00D75AAD">
      <w:pPr>
        <w:pStyle w:val="a3"/>
        <w:spacing w:before="191" w:line="277" w:lineRule="auto"/>
        <w:ind w:left="8" w:firstLine="628"/>
        <w:rPr>
          <w:lang w:eastAsia="zh-CN"/>
        </w:rPr>
      </w:pPr>
      <w:r>
        <w:rPr>
          <w:rFonts w:ascii="Times New Roman" w:eastAsia="Times New Roman" w:hAnsi="Times New Roman" w:cs="Times New Roman"/>
          <w:spacing w:val="24"/>
          <w:lang w:eastAsia="zh-CN"/>
        </w:rPr>
        <w:t>4.</w:t>
      </w:r>
      <w:r>
        <w:rPr>
          <w:rFonts w:ascii="Times New Roman" w:eastAsia="Times New Roman" w:hAnsi="Times New Roman" w:cs="Times New Roman"/>
          <w:spacing w:val="-39"/>
          <w:lang w:eastAsia="zh-CN"/>
        </w:rPr>
        <w:t xml:space="preserve"> </w:t>
      </w:r>
      <w:r>
        <w:rPr>
          <w:spacing w:val="24"/>
          <w:lang w:eastAsia="zh-CN"/>
        </w:rPr>
        <w:t>探索课程公开</w:t>
      </w:r>
      <w:r>
        <w:rPr>
          <w:spacing w:val="-90"/>
          <w:lang w:eastAsia="zh-CN"/>
        </w:rPr>
        <w:t xml:space="preserve"> </w:t>
      </w:r>
      <w:r>
        <w:rPr>
          <w:spacing w:val="24"/>
          <w:lang w:eastAsia="zh-CN"/>
        </w:rPr>
        <w:t>、</w:t>
      </w:r>
      <w:r>
        <w:rPr>
          <w:spacing w:val="-90"/>
          <w:lang w:eastAsia="zh-CN"/>
        </w:rPr>
        <w:t xml:space="preserve"> </w:t>
      </w:r>
      <w:r>
        <w:rPr>
          <w:spacing w:val="24"/>
          <w:lang w:eastAsia="zh-CN"/>
        </w:rPr>
        <w:t>随机检查</w:t>
      </w:r>
      <w:r>
        <w:rPr>
          <w:spacing w:val="-90"/>
          <w:lang w:eastAsia="zh-CN"/>
        </w:rPr>
        <w:t xml:space="preserve"> </w:t>
      </w:r>
      <w:r>
        <w:rPr>
          <w:spacing w:val="24"/>
          <w:lang w:eastAsia="zh-CN"/>
        </w:rPr>
        <w:t>、远程监测等机制和方法创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新，构建有效补齐体育、美育、劳动教育短板的制</w:t>
      </w:r>
      <w:r>
        <w:rPr>
          <w:spacing w:val="8"/>
          <w:lang w:eastAsia="zh-CN"/>
        </w:rPr>
        <w:t>度机制。</w:t>
      </w:r>
    </w:p>
    <w:p w:rsidR="008E5365" w:rsidRDefault="00D75AAD">
      <w:pPr>
        <w:pStyle w:val="a3"/>
        <w:spacing w:before="191" w:line="278" w:lineRule="auto"/>
        <w:ind w:left="13" w:firstLine="633"/>
        <w:rPr>
          <w:lang w:eastAsia="zh-CN"/>
        </w:rPr>
      </w:pPr>
      <w:r>
        <w:rPr>
          <w:rFonts w:ascii="Times New Roman" w:eastAsia="Times New Roman" w:hAnsi="Times New Roman" w:cs="Times New Roman"/>
          <w:spacing w:val="18"/>
          <w:lang w:eastAsia="zh-CN"/>
        </w:rPr>
        <w:t>5.</w:t>
      </w:r>
      <w:r>
        <w:rPr>
          <w:rFonts w:ascii="Times New Roman" w:eastAsia="Times New Roman" w:hAnsi="Times New Roman" w:cs="Times New Roman"/>
          <w:spacing w:val="-32"/>
          <w:lang w:eastAsia="zh-CN"/>
        </w:rPr>
        <w:t xml:space="preserve"> </w:t>
      </w:r>
      <w:r>
        <w:rPr>
          <w:spacing w:val="18"/>
          <w:lang w:eastAsia="zh-CN"/>
        </w:rPr>
        <w:t>完善高校学生学业评价和激励体系，探索建立荣誉学位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制度。</w:t>
      </w:r>
    </w:p>
    <w:p w:rsidR="008E5365" w:rsidRDefault="00D75AAD">
      <w:pPr>
        <w:pStyle w:val="a3"/>
        <w:spacing w:before="187" w:line="219" w:lineRule="auto"/>
        <w:ind w:left="645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6.</w:t>
      </w:r>
      <w:r>
        <w:rPr>
          <w:spacing w:val="-1"/>
          <w:lang w:eastAsia="zh-CN"/>
        </w:rPr>
        <w:t>构建过程性考核与结果性考核有机结合的</w:t>
      </w:r>
      <w:r>
        <w:rPr>
          <w:spacing w:val="-2"/>
          <w:lang w:eastAsia="zh-CN"/>
        </w:rPr>
        <w:t>学业考评制度。</w:t>
      </w:r>
    </w:p>
    <w:p w:rsidR="008E5365" w:rsidRDefault="00D75AAD">
      <w:pPr>
        <w:pStyle w:val="a3"/>
        <w:spacing w:before="191" w:line="277" w:lineRule="auto"/>
        <w:ind w:left="3" w:right="283" w:firstLine="640"/>
        <w:rPr>
          <w:lang w:eastAsia="zh-CN"/>
        </w:rPr>
      </w:pPr>
      <w:r>
        <w:rPr>
          <w:rFonts w:ascii="Times New Roman" w:eastAsia="Times New Roman" w:hAnsi="Times New Roman" w:cs="Times New Roman"/>
          <w:spacing w:val="9"/>
          <w:lang w:eastAsia="zh-CN"/>
        </w:rPr>
        <w:t>7.</w:t>
      </w:r>
      <w:r>
        <w:rPr>
          <w:spacing w:val="9"/>
          <w:lang w:eastAsia="zh-CN"/>
        </w:rPr>
        <w:t>合理安排初、高中毕业班学生中高考结束后至暑假前的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教育活动。</w:t>
      </w:r>
    </w:p>
    <w:p w:rsidR="008E5365" w:rsidRDefault="00D75AAD">
      <w:pPr>
        <w:pStyle w:val="a3"/>
        <w:spacing w:before="191" w:line="219" w:lineRule="auto"/>
        <w:ind w:left="651"/>
        <w:rPr>
          <w:lang w:eastAsia="zh-CN"/>
        </w:rPr>
      </w:pPr>
      <w:r>
        <w:rPr>
          <w:rFonts w:ascii="Times New Roman" w:eastAsia="Times New Roman" w:hAnsi="Times New Roman" w:cs="Times New Roman"/>
          <w:spacing w:val="7"/>
          <w:lang w:eastAsia="zh-CN"/>
        </w:rPr>
        <w:t>8.</w:t>
      </w:r>
      <w:r>
        <w:rPr>
          <w:spacing w:val="7"/>
          <w:lang w:eastAsia="zh-CN"/>
        </w:rPr>
        <w:t>建立科学规范的同行专家评议机制。</w:t>
      </w:r>
    </w:p>
    <w:p w:rsidR="008E5365" w:rsidRDefault="00D75AAD">
      <w:pPr>
        <w:pStyle w:val="a3"/>
        <w:spacing w:before="192" w:line="219" w:lineRule="auto"/>
        <w:ind w:left="644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>9.</w:t>
      </w:r>
      <w:r>
        <w:rPr>
          <w:rFonts w:ascii="Times New Roman" w:eastAsia="Times New Roman" w:hAnsi="Times New Roman" w:cs="Times New Roman"/>
          <w:spacing w:val="-18"/>
          <w:lang w:eastAsia="zh-CN"/>
        </w:rPr>
        <w:t xml:space="preserve"> </w:t>
      </w:r>
      <w:r>
        <w:rPr>
          <w:spacing w:val="3"/>
          <w:lang w:eastAsia="zh-CN"/>
        </w:rPr>
        <w:t>改进代表性成果评价机制。</w:t>
      </w:r>
    </w:p>
    <w:p w:rsidR="008E5365" w:rsidRDefault="00D75AAD">
      <w:pPr>
        <w:pStyle w:val="a3"/>
        <w:spacing w:before="194" w:line="219" w:lineRule="auto"/>
        <w:ind w:left="669"/>
        <w:rPr>
          <w:lang w:eastAsia="zh-CN"/>
        </w:rPr>
      </w:pPr>
      <w:r>
        <w:rPr>
          <w:rFonts w:ascii="Times New Roman" w:eastAsia="Times New Roman" w:hAnsi="Times New Roman" w:cs="Times New Roman"/>
          <w:spacing w:val="7"/>
          <w:lang w:eastAsia="zh-CN"/>
        </w:rPr>
        <w:t>10.</w:t>
      </w:r>
      <w:r>
        <w:rPr>
          <w:spacing w:val="7"/>
          <w:lang w:eastAsia="zh-CN"/>
        </w:rPr>
        <w:t>健全高校服务区域经济社会发展的评价激励机制。</w:t>
      </w:r>
    </w:p>
    <w:p w:rsidR="008E5365" w:rsidRDefault="00D75AAD">
      <w:pPr>
        <w:pStyle w:val="a3"/>
        <w:spacing w:before="191" w:line="219" w:lineRule="auto"/>
        <w:ind w:left="669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11.</w:t>
      </w:r>
      <w:r>
        <w:rPr>
          <w:spacing w:val="6"/>
          <w:lang w:eastAsia="zh-CN"/>
        </w:rPr>
        <w:t>健全师德师风标准、育人成效导向。</w:t>
      </w:r>
    </w:p>
    <w:p w:rsidR="008E5365" w:rsidRDefault="00D75AAD">
      <w:pPr>
        <w:pStyle w:val="a3"/>
        <w:spacing w:before="189" w:line="220" w:lineRule="auto"/>
        <w:ind w:left="669"/>
        <w:rPr>
          <w:lang w:eastAsia="zh-CN"/>
        </w:rPr>
      </w:pPr>
      <w:r>
        <w:rPr>
          <w:rFonts w:ascii="Times New Roman" w:eastAsia="Times New Roman" w:hAnsi="Times New Roman" w:cs="Times New Roman"/>
          <w:spacing w:val="7"/>
          <w:lang w:eastAsia="zh-CN"/>
        </w:rPr>
        <w:t>12.</w:t>
      </w:r>
      <w:r>
        <w:rPr>
          <w:spacing w:val="7"/>
          <w:lang w:eastAsia="zh-CN"/>
        </w:rPr>
        <w:t>创新多元参与的评教办法和多种形式的表彰机制。</w:t>
      </w:r>
    </w:p>
    <w:p w:rsidR="008E5365" w:rsidRDefault="00D75AAD">
      <w:pPr>
        <w:pStyle w:val="a3"/>
        <w:spacing w:before="195" w:line="218" w:lineRule="auto"/>
        <w:jc w:val="right"/>
        <w:rPr>
          <w:lang w:eastAsia="zh-CN"/>
        </w:rPr>
      </w:pPr>
      <w:r>
        <w:rPr>
          <w:rFonts w:ascii="Times New Roman" w:eastAsia="Times New Roman" w:hAnsi="Times New Roman" w:cs="Times New Roman"/>
          <w:spacing w:val="12"/>
          <w:lang w:eastAsia="zh-CN"/>
        </w:rPr>
        <w:t>13.</w:t>
      </w:r>
      <w:r>
        <w:rPr>
          <w:spacing w:val="12"/>
          <w:lang w:eastAsia="zh-CN"/>
        </w:rPr>
        <w:t>探索关键技术、推广应用等特殊领域人才专门评价办法</w:t>
      </w:r>
    </w:p>
    <w:p w:rsidR="008E5365" w:rsidRDefault="008E5365">
      <w:pPr>
        <w:spacing w:line="218" w:lineRule="auto"/>
        <w:rPr>
          <w:lang w:eastAsia="zh-CN"/>
        </w:rPr>
        <w:sectPr w:rsidR="008E5365">
          <w:footerReference w:type="default" r:id="rId7"/>
          <w:pgSz w:w="11905" w:h="16839"/>
          <w:pgMar w:top="1431" w:right="1474" w:bottom="1754" w:left="1595" w:header="0" w:footer="1387" w:gutter="0"/>
          <w:cols w:space="720"/>
        </w:sectPr>
      </w:pPr>
    </w:p>
    <w:p w:rsidR="008E5365" w:rsidRDefault="008E5365">
      <w:pPr>
        <w:spacing w:line="246" w:lineRule="auto"/>
        <w:rPr>
          <w:lang w:eastAsia="zh-CN"/>
        </w:rPr>
      </w:pPr>
    </w:p>
    <w:p w:rsidR="008E5365" w:rsidRDefault="008E5365">
      <w:pPr>
        <w:spacing w:line="246" w:lineRule="auto"/>
        <w:rPr>
          <w:lang w:eastAsia="zh-CN"/>
        </w:rPr>
      </w:pPr>
    </w:p>
    <w:p w:rsidR="008E5365" w:rsidRDefault="008E5365">
      <w:pPr>
        <w:spacing w:line="246" w:lineRule="auto"/>
        <w:rPr>
          <w:lang w:eastAsia="zh-CN"/>
        </w:rPr>
      </w:pPr>
    </w:p>
    <w:p w:rsidR="008E5365" w:rsidRDefault="00D75AAD">
      <w:pPr>
        <w:pStyle w:val="a3"/>
        <w:spacing w:before="100" w:line="221" w:lineRule="auto"/>
        <w:ind w:left="7"/>
        <w:rPr>
          <w:lang w:eastAsia="zh-CN"/>
        </w:rPr>
      </w:pPr>
      <w:r>
        <w:rPr>
          <w:spacing w:val="4"/>
          <w:lang w:eastAsia="zh-CN"/>
        </w:rPr>
        <w:t>和晋升通道。</w:t>
      </w:r>
    </w:p>
    <w:p w:rsidR="008E5365" w:rsidRDefault="00D75AAD">
      <w:pPr>
        <w:pStyle w:val="a3"/>
        <w:spacing w:before="189" w:line="276" w:lineRule="auto"/>
        <w:ind w:left="9" w:right="125" w:firstLine="655"/>
        <w:rPr>
          <w:lang w:eastAsia="zh-CN"/>
        </w:rPr>
      </w:pPr>
      <w:r>
        <w:rPr>
          <w:rFonts w:ascii="Times New Roman" w:eastAsia="Times New Roman" w:hAnsi="Times New Roman" w:cs="Times New Roman"/>
          <w:spacing w:val="7"/>
          <w:lang w:eastAsia="zh-CN"/>
        </w:rPr>
        <w:t>14.</w:t>
      </w:r>
      <w:r>
        <w:rPr>
          <w:rFonts w:ascii="Times New Roman" w:eastAsia="Times New Roman" w:hAnsi="Times New Roman" w:cs="Times New Roman"/>
          <w:spacing w:val="-45"/>
          <w:lang w:eastAsia="zh-CN"/>
        </w:rPr>
        <w:t xml:space="preserve"> </w:t>
      </w:r>
      <w:r>
        <w:rPr>
          <w:spacing w:val="7"/>
          <w:lang w:eastAsia="zh-CN"/>
        </w:rPr>
        <w:t>落实德技并修、产教融合、校企合作、</w:t>
      </w:r>
      <w:r>
        <w:rPr>
          <w:spacing w:val="6"/>
          <w:lang w:eastAsia="zh-CN"/>
        </w:rPr>
        <w:t>育训结合方面体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制机制。</w:t>
      </w:r>
    </w:p>
    <w:p w:rsidR="008E5365" w:rsidRDefault="00D75AAD">
      <w:pPr>
        <w:pStyle w:val="a3"/>
        <w:spacing w:before="193" w:line="276" w:lineRule="auto"/>
        <w:ind w:right="125" w:firstLine="665"/>
        <w:rPr>
          <w:lang w:eastAsia="zh-CN"/>
        </w:rPr>
      </w:pPr>
      <w:r>
        <w:rPr>
          <w:rFonts w:ascii="Times New Roman" w:eastAsia="Times New Roman" w:hAnsi="Times New Roman" w:cs="Times New Roman"/>
          <w:spacing w:val="5"/>
          <w:lang w:eastAsia="zh-CN"/>
        </w:rPr>
        <w:t>15.</w:t>
      </w:r>
      <w:r>
        <w:rPr>
          <w:spacing w:val="5"/>
          <w:lang w:eastAsia="zh-CN"/>
        </w:rPr>
        <w:t>建立以品德和能力为导向、</w:t>
      </w:r>
      <w:r>
        <w:rPr>
          <w:spacing w:val="-76"/>
          <w:lang w:eastAsia="zh-CN"/>
        </w:rPr>
        <w:t xml:space="preserve"> </w:t>
      </w:r>
      <w:r>
        <w:rPr>
          <w:spacing w:val="5"/>
          <w:lang w:eastAsia="zh-CN"/>
        </w:rPr>
        <w:t>以岗位需求为目标的人才使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用机制。</w:t>
      </w:r>
    </w:p>
    <w:p w:rsidR="008E5365" w:rsidRDefault="00D75AAD">
      <w:pPr>
        <w:pStyle w:val="a3"/>
        <w:spacing w:before="190" w:line="218" w:lineRule="auto"/>
        <w:ind w:left="665"/>
        <w:rPr>
          <w:lang w:eastAsia="zh-CN"/>
        </w:rPr>
      </w:pPr>
      <w:r>
        <w:rPr>
          <w:rFonts w:ascii="Times New Roman" w:eastAsia="Times New Roman" w:hAnsi="Times New Roman" w:cs="Times New Roman"/>
          <w:spacing w:val="5"/>
          <w:lang w:eastAsia="zh-CN"/>
        </w:rPr>
        <w:t>16.</w:t>
      </w:r>
      <w:r>
        <w:rPr>
          <w:rFonts w:ascii="Times New Roman" w:eastAsia="Times New Roman" w:hAnsi="Times New Roman" w:cs="Times New Roman"/>
          <w:spacing w:val="-44"/>
          <w:lang w:eastAsia="zh-CN"/>
        </w:rPr>
        <w:t xml:space="preserve"> </w:t>
      </w:r>
      <w:r>
        <w:rPr>
          <w:spacing w:val="5"/>
          <w:lang w:eastAsia="zh-CN"/>
        </w:rPr>
        <w:t>落实教育评价改革</w:t>
      </w:r>
      <w:r>
        <w:rPr>
          <w:spacing w:val="5"/>
          <w:lang w:eastAsia="zh-CN"/>
        </w:rPr>
        <w:t>“</w:t>
      </w:r>
      <w:r>
        <w:rPr>
          <w:spacing w:val="5"/>
          <w:lang w:eastAsia="zh-CN"/>
        </w:rPr>
        <w:t>十不得一严禁</w:t>
      </w:r>
      <w:r>
        <w:rPr>
          <w:spacing w:val="5"/>
          <w:lang w:eastAsia="zh-CN"/>
        </w:rPr>
        <w:t>”</w:t>
      </w:r>
      <w:r>
        <w:rPr>
          <w:spacing w:val="5"/>
          <w:lang w:eastAsia="zh-CN"/>
        </w:rPr>
        <w:t>。</w:t>
      </w:r>
    </w:p>
    <w:p w:rsidR="008E5365" w:rsidRDefault="00D75AAD">
      <w:pPr>
        <w:pStyle w:val="a3"/>
        <w:spacing w:before="195" w:line="219" w:lineRule="auto"/>
        <w:ind w:left="665"/>
        <w:rPr>
          <w:lang w:eastAsia="zh-CN"/>
        </w:rPr>
      </w:pPr>
      <w:r>
        <w:rPr>
          <w:rFonts w:ascii="Times New Roman" w:eastAsia="Times New Roman" w:hAnsi="Times New Roman" w:cs="Times New Roman"/>
          <w:spacing w:val="5"/>
          <w:lang w:eastAsia="zh-CN"/>
        </w:rPr>
        <w:t>17.</w:t>
      </w:r>
      <w:r>
        <w:rPr>
          <w:spacing w:val="5"/>
          <w:lang w:eastAsia="zh-CN"/>
        </w:rPr>
        <w:t>教育评价改革专业化建设。</w:t>
      </w:r>
    </w:p>
    <w:p w:rsidR="008E5365" w:rsidRDefault="00D75AAD">
      <w:pPr>
        <w:pStyle w:val="a3"/>
        <w:spacing w:before="192" w:line="219" w:lineRule="auto"/>
        <w:ind w:left="665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18.</w:t>
      </w:r>
      <w:r>
        <w:rPr>
          <w:spacing w:val="6"/>
          <w:lang w:eastAsia="zh-CN"/>
        </w:rPr>
        <w:t>探索人工智能赋能教育评价路径。</w:t>
      </w:r>
    </w:p>
    <w:p w:rsidR="008E5365" w:rsidRDefault="008E5365">
      <w:pPr>
        <w:spacing w:line="219" w:lineRule="auto"/>
        <w:rPr>
          <w:lang w:eastAsia="zh-CN"/>
        </w:rPr>
        <w:sectPr w:rsidR="008E5365">
          <w:footerReference w:type="default" r:id="rId8"/>
          <w:pgSz w:w="11905" w:h="16839"/>
          <w:pgMar w:top="1431" w:right="1471" w:bottom="1754" w:left="1598" w:header="0" w:footer="1390" w:gutter="0"/>
          <w:cols w:space="720"/>
        </w:sectPr>
      </w:pPr>
    </w:p>
    <w:p w:rsidR="008E5365" w:rsidRDefault="008E5365">
      <w:pPr>
        <w:spacing w:line="322" w:lineRule="auto"/>
        <w:rPr>
          <w:lang w:eastAsia="zh-CN"/>
        </w:rPr>
      </w:pPr>
    </w:p>
    <w:p w:rsidR="008E5365" w:rsidRDefault="008E5365">
      <w:pPr>
        <w:spacing w:line="323" w:lineRule="auto"/>
        <w:rPr>
          <w:lang w:eastAsia="zh-CN"/>
        </w:rPr>
      </w:pPr>
    </w:p>
    <w:p w:rsidR="008E5365" w:rsidRDefault="00D75AAD">
      <w:pPr>
        <w:spacing w:before="101" w:line="230" w:lineRule="auto"/>
        <w:ind w:left="709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7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2</w:t>
      </w:r>
    </w:p>
    <w:p w:rsidR="008E5365" w:rsidRDefault="00D75AAD">
      <w:pPr>
        <w:spacing w:before="69" w:line="208" w:lineRule="auto"/>
        <w:ind w:left="4205"/>
        <w:outlineLvl w:val="0"/>
        <w:rPr>
          <w:rFonts w:ascii="FZXiaoBiaoSong-B05S" w:eastAsia="FZXiaoBiaoSong-B05S" w:hAnsi="FZXiaoBiaoSong-B05S" w:cs="FZXiaoBiaoSong-B05S"/>
          <w:sz w:val="43"/>
          <w:szCs w:val="43"/>
          <w:lang w:eastAsia="zh-CN"/>
        </w:rPr>
      </w:pPr>
      <w:r>
        <w:rPr>
          <w:rFonts w:ascii="FZXiaoBiaoSong-B05S" w:eastAsia="FZXiaoBiaoSong-B05S" w:hAnsi="FZXiaoBiaoSong-B05S" w:cs="FZXiaoBiaoSong-B05S"/>
          <w:spacing w:val="9"/>
          <w:sz w:val="43"/>
          <w:szCs w:val="43"/>
          <w:lang w:eastAsia="zh-CN"/>
        </w:rPr>
        <w:t>教育评价改革典型案例汇总表</w:t>
      </w:r>
    </w:p>
    <w:p w:rsidR="008E5365" w:rsidRDefault="00D75AAD">
      <w:pPr>
        <w:pStyle w:val="a3"/>
        <w:spacing w:before="156" w:line="214" w:lineRule="auto"/>
        <w:ind w:left="688"/>
        <w:rPr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推荐地市（高校、省属中小学</w:t>
      </w:r>
      <w:r>
        <w:rPr>
          <w:spacing w:val="-59"/>
          <w:sz w:val="24"/>
          <w:szCs w:val="24"/>
          <w:lang w:eastAsia="zh-CN"/>
        </w:rPr>
        <w:t>）：</w:t>
      </w:r>
    </w:p>
    <w:p w:rsidR="008E5365" w:rsidRDefault="008E5365">
      <w:pPr>
        <w:spacing w:line="37" w:lineRule="exact"/>
        <w:rPr>
          <w:lang w:eastAsia="zh-CN"/>
        </w:rPr>
      </w:pPr>
    </w:p>
    <w:tbl>
      <w:tblPr>
        <w:tblStyle w:val="TableNormal"/>
        <w:tblW w:w="141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3254"/>
        <w:gridCol w:w="5236"/>
        <w:gridCol w:w="2429"/>
        <w:gridCol w:w="2281"/>
      </w:tblGrid>
      <w:tr w:rsidR="008E5365">
        <w:trPr>
          <w:trHeight w:val="539"/>
        </w:trPr>
        <w:tc>
          <w:tcPr>
            <w:tcW w:w="908" w:type="dxa"/>
          </w:tcPr>
          <w:p w:rsidR="008E5365" w:rsidRDefault="00D75AAD">
            <w:pPr>
              <w:spacing w:before="214" w:line="223" w:lineRule="auto"/>
              <w:ind w:left="22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254" w:type="dxa"/>
          </w:tcPr>
          <w:p w:rsidR="008E5365" w:rsidRDefault="00D75AAD">
            <w:pPr>
              <w:spacing w:before="213" w:line="221" w:lineRule="auto"/>
              <w:ind w:left="115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主题类别</w:t>
            </w:r>
          </w:p>
        </w:tc>
        <w:tc>
          <w:tcPr>
            <w:tcW w:w="5236" w:type="dxa"/>
          </w:tcPr>
          <w:p w:rsidR="008E5365" w:rsidRDefault="00D75AAD">
            <w:pPr>
              <w:spacing w:before="213" w:line="222" w:lineRule="auto"/>
              <w:ind w:left="214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案例名称</w:t>
            </w:r>
          </w:p>
        </w:tc>
        <w:tc>
          <w:tcPr>
            <w:tcW w:w="2429" w:type="dxa"/>
          </w:tcPr>
          <w:p w:rsidR="008E5365" w:rsidRDefault="00D75AAD">
            <w:pPr>
              <w:spacing w:before="213" w:line="222" w:lineRule="auto"/>
              <w:ind w:left="26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报送（实施）单位</w:t>
            </w:r>
          </w:p>
        </w:tc>
        <w:tc>
          <w:tcPr>
            <w:tcW w:w="2281" w:type="dxa"/>
          </w:tcPr>
          <w:p w:rsidR="008E5365" w:rsidRDefault="00D75AAD">
            <w:pPr>
              <w:spacing w:before="213" w:line="222" w:lineRule="auto"/>
              <w:ind w:left="18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联系人及联系电话</w:t>
            </w:r>
          </w:p>
        </w:tc>
      </w:tr>
      <w:tr w:rsidR="008E5365">
        <w:trPr>
          <w:trHeight w:val="504"/>
        </w:trPr>
        <w:tc>
          <w:tcPr>
            <w:tcW w:w="908" w:type="dxa"/>
          </w:tcPr>
          <w:p w:rsidR="008E5365" w:rsidRDefault="008E5365">
            <w:pPr>
              <w:pStyle w:val="TableText"/>
            </w:pPr>
          </w:p>
        </w:tc>
        <w:tc>
          <w:tcPr>
            <w:tcW w:w="3254" w:type="dxa"/>
          </w:tcPr>
          <w:p w:rsidR="008E5365" w:rsidRDefault="008E5365">
            <w:pPr>
              <w:pStyle w:val="TableText"/>
            </w:pPr>
          </w:p>
        </w:tc>
        <w:tc>
          <w:tcPr>
            <w:tcW w:w="5236" w:type="dxa"/>
          </w:tcPr>
          <w:p w:rsidR="008E5365" w:rsidRDefault="008E5365">
            <w:pPr>
              <w:pStyle w:val="TableText"/>
            </w:pPr>
          </w:p>
        </w:tc>
        <w:tc>
          <w:tcPr>
            <w:tcW w:w="2429" w:type="dxa"/>
          </w:tcPr>
          <w:p w:rsidR="008E5365" w:rsidRDefault="008E5365">
            <w:pPr>
              <w:pStyle w:val="TableText"/>
            </w:pPr>
          </w:p>
        </w:tc>
        <w:tc>
          <w:tcPr>
            <w:tcW w:w="2281" w:type="dxa"/>
          </w:tcPr>
          <w:p w:rsidR="008E5365" w:rsidRDefault="008E5365">
            <w:pPr>
              <w:pStyle w:val="TableText"/>
            </w:pPr>
          </w:p>
        </w:tc>
      </w:tr>
      <w:tr w:rsidR="008E5365">
        <w:trPr>
          <w:trHeight w:val="504"/>
        </w:trPr>
        <w:tc>
          <w:tcPr>
            <w:tcW w:w="908" w:type="dxa"/>
          </w:tcPr>
          <w:p w:rsidR="008E5365" w:rsidRDefault="008E5365">
            <w:pPr>
              <w:pStyle w:val="TableText"/>
            </w:pPr>
          </w:p>
        </w:tc>
        <w:tc>
          <w:tcPr>
            <w:tcW w:w="3254" w:type="dxa"/>
          </w:tcPr>
          <w:p w:rsidR="008E5365" w:rsidRDefault="008E5365">
            <w:pPr>
              <w:pStyle w:val="TableText"/>
            </w:pPr>
          </w:p>
        </w:tc>
        <w:tc>
          <w:tcPr>
            <w:tcW w:w="5236" w:type="dxa"/>
          </w:tcPr>
          <w:p w:rsidR="008E5365" w:rsidRDefault="008E5365">
            <w:pPr>
              <w:pStyle w:val="TableText"/>
            </w:pPr>
          </w:p>
        </w:tc>
        <w:tc>
          <w:tcPr>
            <w:tcW w:w="2429" w:type="dxa"/>
          </w:tcPr>
          <w:p w:rsidR="008E5365" w:rsidRDefault="008E5365">
            <w:pPr>
              <w:pStyle w:val="TableText"/>
            </w:pPr>
          </w:p>
        </w:tc>
        <w:tc>
          <w:tcPr>
            <w:tcW w:w="2281" w:type="dxa"/>
          </w:tcPr>
          <w:p w:rsidR="008E5365" w:rsidRDefault="008E5365">
            <w:pPr>
              <w:pStyle w:val="TableText"/>
            </w:pPr>
          </w:p>
        </w:tc>
      </w:tr>
      <w:tr w:rsidR="008E5365">
        <w:trPr>
          <w:trHeight w:val="504"/>
        </w:trPr>
        <w:tc>
          <w:tcPr>
            <w:tcW w:w="908" w:type="dxa"/>
          </w:tcPr>
          <w:p w:rsidR="008E5365" w:rsidRDefault="008E5365">
            <w:pPr>
              <w:pStyle w:val="TableText"/>
            </w:pPr>
          </w:p>
        </w:tc>
        <w:tc>
          <w:tcPr>
            <w:tcW w:w="3254" w:type="dxa"/>
          </w:tcPr>
          <w:p w:rsidR="008E5365" w:rsidRDefault="008E5365">
            <w:pPr>
              <w:pStyle w:val="TableText"/>
            </w:pPr>
          </w:p>
        </w:tc>
        <w:tc>
          <w:tcPr>
            <w:tcW w:w="5236" w:type="dxa"/>
          </w:tcPr>
          <w:p w:rsidR="008E5365" w:rsidRDefault="008E5365">
            <w:pPr>
              <w:pStyle w:val="TableText"/>
            </w:pPr>
          </w:p>
        </w:tc>
        <w:tc>
          <w:tcPr>
            <w:tcW w:w="2429" w:type="dxa"/>
          </w:tcPr>
          <w:p w:rsidR="008E5365" w:rsidRDefault="008E5365">
            <w:pPr>
              <w:pStyle w:val="TableText"/>
            </w:pPr>
          </w:p>
        </w:tc>
        <w:tc>
          <w:tcPr>
            <w:tcW w:w="2281" w:type="dxa"/>
          </w:tcPr>
          <w:p w:rsidR="008E5365" w:rsidRDefault="008E5365">
            <w:pPr>
              <w:pStyle w:val="TableText"/>
            </w:pPr>
          </w:p>
        </w:tc>
      </w:tr>
      <w:tr w:rsidR="008E5365">
        <w:trPr>
          <w:trHeight w:val="504"/>
        </w:trPr>
        <w:tc>
          <w:tcPr>
            <w:tcW w:w="908" w:type="dxa"/>
          </w:tcPr>
          <w:p w:rsidR="008E5365" w:rsidRDefault="008E5365">
            <w:pPr>
              <w:pStyle w:val="TableText"/>
            </w:pPr>
          </w:p>
        </w:tc>
        <w:tc>
          <w:tcPr>
            <w:tcW w:w="3254" w:type="dxa"/>
          </w:tcPr>
          <w:p w:rsidR="008E5365" w:rsidRDefault="008E5365">
            <w:pPr>
              <w:pStyle w:val="TableText"/>
            </w:pPr>
          </w:p>
        </w:tc>
        <w:tc>
          <w:tcPr>
            <w:tcW w:w="5236" w:type="dxa"/>
          </w:tcPr>
          <w:p w:rsidR="008E5365" w:rsidRDefault="008E5365">
            <w:pPr>
              <w:pStyle w:val="TableText"/>
            </w:pPr>
          </w:p>
        </w:tc>
        <w:tc>
          <w:tcPr>
            <w:tcW w:w="2429" w:type="dxa"/>
          </w:tcPr>
          <w:p w:rsidR="008E5365" w:rsidRDefault="008E5365">
            <w:pPr>
              <w:pStyle w:val="TableText"/>
            </w:pPr>
          </w:p>
        </w:tc>
        <w:tc>
          <w:tcPr>
            <w:tcW w:w="2281" w:type="dxa"/>
          </w:tcPr>
          <w:p w:rsidR="008E5365" w:rsidRDefault="008E5365">
            <w:pPr>
              <w:pStyle w:val="TableText"/>
            </w:pPr>
          </w:p>
        </w:tc>
      </w:tr>
      <w:tr w:rsidR="008E5365">
        <w:trPr>
          <w:trHeight w:val="505"/>
        </w:trPr>
        <w:tc>
          <w:tcPr>
            <w:tcW w:w="908" w:type="dxa"/>
          </w:tcPr>
          <w:p w:rsidR="008E5365" w:rsidRDefault="008E5365">
            <w:pPr>
              <w:pStyle w:val="TableText"/>
            </w:pPr>
          </w:p>
        </w:tc>
        <w:tc>
          <w:tcPr>
            <w:tcW w:w="3254" w:type="dxa"/>
          </w:tcPr>
          <w:p w:rsidR="008E5365" w:rsidRDefault="008E5365">
            <w:pPr>
              <w:pStyle w:val="TableText"/>
            </w:pPr>
          </w:p>
        </w:tc>
        <w:tc>
          <w:tcPr>
            <w:tcW w:w="5236" w:type="dxa"/>
          </w:tcPr>
          <w:p w:rsidR="008E5365" w:rsidRDefault="008E5365">
            <w:pPr>
              <w:pStyle w:val="TableText"/>
            </w:pPr>
          </w:p>
        </w:tc>
        <w:tc>
          <w:tcPr>
            <w:tcW w:w="2429" w:type="dxa"/>
          </w:tcPr>
          <w:p w:rsidR="008E5365" w:rsidRDefault="008E5365">
            <w:pPr>
              <w:pStyle w:val="TableText"/>
            </w:pPr>
          </w:p>
        </w:tc>
        <w:tc>
          <w:tcPr>
            <w:tcW w:w="2281" w:type="dxa"/>
          </w:tcPr>
          <w:p w:rsidR="008E5365" w:rsidRDefault="008E5365">
            <w:pPr>
              <w:pStyle w:val="TableText"/>
            </w:pPr>
          </w:p>
        </w:tc>
      </w:tr>
      <w:tr w:rsidR="008E5365">
        <w:trPr>
          <w:trHeight w:val="505"/>
        </w:trPr>
        <w:tc>
          <w:tcPr>
            <w:tcW w:w="908" w:type="dxa"/>
          </w:tcPr>
          <w:p w:rsidR="008E5365" w:rsidRDefault="008E5365">
            <w:pPr>
              <w:pStyle w:val="TableText"/>
            </w:pPr>
          </w:p>
        </w:tc>
        <w:tc>
          <w:tcPr>
            <w:tcW w:w="3254" w:type="dxa"/>
          </w:tcPr>
          <w:p w:rsidR="008E5365" w:rsidRDefault="008E5365">
            <w:pPr>
              <w:pStyle w:val="TableText"/>
            </w:pPr>
          </w:p>
        </w:tc>
        <w:tc>
          <w:tcPr>
            <w:tcW w:w="5236" w:type="dxa"/>
          </w:tcPr>
          <w:p w:rsidR="008E5365" w:rsidRDefault="008E5365">
            <w:pPr>
              <w:pStyle w:val="TableText"/>
            </w:pPr>
          </w:p>
        </w:tc>
        <w:tc>
          <w:tcPr>
            <w:tcW w:w="2429" w:type="dxa"/>
          </w:tcPr>
          <w:p w:rsidR="008E5365" w:rsidRDefault="008E5365">
            <w:pPr>
              <w:pStyle w:val="TableText"/>
            </w:pPr>
          </w:p>
        </w:tc>
        <w:tc>
          <w:tcPr>
            <w:tcW w:w="2281" w:type="dxa"/>
          </w:tcPr>
          <w:p w:rsidR="008E5365" w:rsidRDefault="008E5365">
            <w:pPr>
              <w:pStyle w:val="TableText"/>
            </w:pPr>
          </w:p>
        </w:tc>
      </w:tr>
      <w:tr w:rsidR="008E5365">
        <w:trPr>
          <w:trHeight w:val="505"/>
        </w:trPr>
        <w:tc>
          <w:tcPr>
            <w:tcW w:w="908" w:type="dxa"/>
          </w:tcPr>
          <w:p w:rsidR="008E5365" w:rsidRDefault="008E5365">
            <w:pPr>
              <w:pStyle w:val="TableText"/>
            </w:pPr>
          </w:p>
        </w:tc>
        <w:tc>
          <w:tcPr>
            <w:tcW w:w="3254" w:type="dxa"/>
          </w:tcPr>
          <w:p w:rsidR="008E5365" w:rsidRDefault="008E5365">
            <w:pPr>
              <w:pStyle w:val="TableText"/>
            </w:pPr>
          </w:p>
        </w:tc>
        <w:tc>
          <w:tcPr>
            <w:tcW w:w="5236" w:type="dxa"/>
          </w:tcPr>
          <w:p w:rsidR="008E5365" w:rsidRDefault="008E5365">
            <w:pPr>
              <w:pStyle w:val="TableText"/>
            </w:pPr>
          </w:p>
        </w:tc>
        <w:tc>
          <w:tcPr>
            <w:tcW w:w="2429" w:type="dxa"/>
          </w:tcPr>
          <w:p w:rsidR="008E5365" w:rsidRDefault="008E5365">
            <w:pPr>
              <w:pStyle w:val="TableText"/>
            </w:pPr>
          </w:p>
        </w:tc>
        <w:tc>
          <w:tcPr>
            <w:tcW w:w="2281" w:type="dxa"/>
          </w:tcPr>
          <w:p w:rsidR="008E5365" w:rsidRDefault="008E5365">
            <w:pPr>
              <w:pStyle w:val="TableText"/>
            </w:pPr>
          </w:p>
        </w:tc>
      </w:tr>
      <w:tr w:rsidR="008E5365">
        <w:trPr>
          <w:trHeight w:val="509"/>
        </w:trPr>
        <w:tc>
          <w:tcPr>
            <w:tcW w:w="908" w:type="dxa"/>
          </w:tcPr>
          <w:p w:rsidR="008E5365" w:rsidRDefault="008E5365">
            <w:pPr>
              <w:pStyle w:val="TableText"/>
            </w:pPr>
          </w:p>
        </w:tc>
        <w:tc>
          <w:tcPr>
            <w:tcW w:w="3254" w:type="dxa"/>
          </w:tcPr>
          <w:p w:rsidR="008E5365" w:rsidRDefault="008E5365">
            <w:pPr>
              <w:pStyle w:val="TableText"/>
            </w:pPr>
          </w:p>
        </w:tc>
        <w:tc>
          <w:tcPr>
            <w:tcW w:w="5236" w:type="dxa"/>
          </w:tcPr>
          <w:p w:rsidR="008E5365" w:rsidRDefault="008E5365">
            <w:pPr>
              <w:pStyle w:val="TableText"/>
            </w:pPr>
          </w:p>
        </w:tc>
        <w:tc>
          <w:tcPr>
            <w:tcW w:w="2429" w:type="dxa"/>
          </w:tcPr>
          <w:p w:rsidR="008E5365" w:rsidRDefault="008E5365">
            <w:pPr>
              <w:pStyle w:val="TableText"/>
            </w:pPr>
          </w:p>
        </w:tc>
        <w:tc>
          <w:tcPr>
            <w:tcW w:w="2281" w:type="dxa"/>
          </w:tcPr>
          <w:p w:rsidR="008E5365" w:rsidRDefault="008E5365">
            <w:pPr>
              <w:pStyle w:val="TableText"/>
            </w:pPr>
          </w:p>
        </w:tc>
      </w:tr>
    </w:tbl>
    <w:p w:rsidR="008E5365" w:rsidRDefault="00D75AAD">
      <w:pPr>
        <w:spacing w:before="242" w:line="221" w:lineRule="auto"/>
        <w:ind w:left="691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1"/>
          <w:sz w:val="24"/>
          <w:szCs w:val="24"/>
          <w:lang w:eastAsia="zh-CN"/>
        </w:rPr>
        <w:t>注：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1.</w:t>
      </w:r>
      <w:r>
        <w:rPr>
          <w:rFonts w:ascii="黑体" w:eastAsia="黑体" w:hAnsi="黑体" w:cs="黑体"/>
          <w:spacing w:val="-1"/>
          <w:sz w:val="24"/>
          <w:szCs w:val="24"/>
          <w:lang w:eastAsia="zh-CN"/>
        </w:rPr>
        <w:t>主题类别可选填党委政府评价、学校评价、教师评价、学生评价、用人评价、教育评价改革组织实施</w:t>
      </w:r>
      <w:r>
        <w:rPr>
          <w:rFonts w:ascii="黑体" w:eastAsia="黑体" w:hAnsi="黑体" w:cs="黑体"/>
          <w:spacing w:val="-4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spacing w:val="-1"/>
          <w:sz w:val="24"/>
          <w:szCs w:val="24"/>
          <w:lang w:eastAsia="zh-CN"/>
        </w:rPr>
        <w:t>类。</w:t>
      </w:r>
    </w:p>
    <w:p w:rsidR="008E5365" w:rsidRDefault="00D75AAD">
      <w:pPr>
        <w:spacing w:line="310" w:lineRule="auto"/>
        <w:rPr>
          <w:lang w:eastAsia="zh-CN"/>
        </w:rPr>
      </w:pPr>
      <w:r>
        <w:rPr>
          <w:lang w:eastAsia="zh-CN"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6679945</wp:posOffset>
            </wp:positionH>
            <wp:positionV relativeFrom="paragraph">
              <wp:posOffset>82266</wp:posOffset>
            </wp:positionV>
            <wp:extent cx="1001268" cy="1001267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1268" cy="1001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5365" w:rsidRDefault="00D75AAD">
      <w:pPr>
        <w:spacing w:before="78" w:line="210" w:lineRule="auto"/>
        <w:ind w:left="1164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2.</w:t>
      </w:r>
      <w:r>
        <w:rPr>
          <w:rFonts w:ascii="黑体" w:eastAsia="黑体" w:hAnsi="黑体" w:cs="黑体"/>
          <w:spacing w:val="-1"/>
          <w:sz w:val="24"/>
          <w:szCs w:val="24"/>
          <w:lang w:eastAsia="zh-CN"/>
        </w:rPr>
        <w:t>请点击链接</w:t>
      </w:r>
      <w:r>
        <w:rPr>
          <w:rFonts w:ascii="黑体" w:eastAsia="黑体" w:hAnsi="黑体" w:cs="黑体"/>
          <w:spacing w:val="-48"/>
          <w:sz w:val="24"/>
          <w:szCs w:val="24"/>
          <w:lang w:eastAsia="zh-CN"/>
        </w:rPr>
        <w:t xml:space="preserve"> </w:t>
      </w:r>
      <w:hyperlink r:id="rId10" w:history="1">
        <w:r>
          <w:rPr>
            <w:rFonts w:ascii="Times New Roman" w:eastAsia="Times New Roman" w:hAnsi="Times New Roman" w:cs="Times New Roman"/>
            <w:spacing w:val="-1"/>
            <w:sz w:val="24"/>
            <w:szCs w:val="24"/>
            <w:lang w:eastAsia="zh-CN"/>
          </w:rPr>
          <w:t>https://www.wjx.cn/vm/QBmzCNW.aspx</w:t>
        </w:r>
      </w:hyperlink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 </w:t>
      </w:r>
      <w:r>
        <w:rPr>
          <w:rFonts w:ascii="黑体" w:eastAsia="黑体" w:hAnsi="黑体" w:cs="黑体"/>
          <w:spacing w:val="-1"/>
          <w:sz w:val="24"/>
          <w:szCs w:val="24"/>
          <w:lang w:eastAsia="zh-CN"/>
        </w:rPr>
        <w:t>或扫描以下二维码填报汇总表。</w:t>
      </w:r>
    </w:p>
    <w:p w:rsidR="008E5365" w:rsidRDefault="008E5365">
      <w:pPr>
        <w:spacing w:line="274" w:lineRule="auto"/>
        <w:rPr>
          <w:lang w:eastAsia="zh-CN"/>
        </w:rPr>
      </w:pPr>
    </w:p>
    <w:p w:rsidR="008E5365" w:rsidRDefault="008E5365">
      <w:pPr>
        <w:spacing w:line="274" w:lineRule="auto"/>
        <w:rPr>
          <w:lang w:eastAsia="zh-CN"/>
        </w:rPr>
      </w:pPr>
    </w:p>
    <w:p w:rsidR="008E5365" w:rsidRDefault="008E5365">
      <w:pPr>
        <w:spacing w:line="274" w:lineRule="auto"/>
        <w:rPr>
          <w:lang w:eastAsia="zh-CN"/>
        </w:rPr>
      </w:pPr>
    </w:p>
    <w:p w:rsidR="008E5365" w:rsidRDefault="008E5365">
      <w:pPr>
        <w:spacing w:line="274" w:lineRule="auto"/>
        <w:rPr>
          <w:lang w:eastAsia="zh-CN"/>
        </w:rPr>
      </w:pPr>
    </w:p>
    <w:p w:rsidR="008E5365" w:rsidRDefault="00D75AAD">
      <w:pPr>
        <w:spacing w:before="91" w:line="190" w:lineRule="exact"/>
        <w:ind w:left="68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eastAsia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.65pt;margin-top:-3.05pt;width:8.4pt;height:20.25pt;z-index:251691008;mso-position-horizontal-relative:text;mso-position-vertical-relative:text" filled="f" stroked="f">
            <v:textbox inset="0,0,0,0">
              <w:txbxContent>
                <w:p w:rsidR="008E5365" w:rsidRDefault="00D75AAD">
                  <w:pPr>
                    <w:spacing w:before="20"/>
                    <w:ind w:left="20"/>
                    <w:rPr>
                      <w:rFonts w:ascii="宋体" w:eastAsia="宋体" w:hAnsi="宋体" w:cs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spacing w:val="-4"/>
          <w:position w:val="-4"/>
          <w:sz w:val="28"/>
          <w:szCs w:val="28"/>
          <w:lang w:eastAsia="zh-CN"/>
        </w:rPr>
        <w:t>—</w:t>
      </w:r>
      <w:r>
        <w:rPr>
          <w:rFonts w:ascii="宋体" w:eastAsia="宋体" w:hAnsi="宋体" w:cs="宋体"/>
          <w:spacing w:val="2"/>
          <w:position w:val="-4"/>
          <w:sz w:val="28"/>
          <w:szCs w:val="28"/>
          <w:lang w:eastAsia="zh-CN"/>
        </w:rPr>
        <w:t xml:space="preserve">   </w:t>
      </w:r>
      <w:r>
        <w:rPr>
          <w:rFonts w:ascii="宋体" w:eastAsia="宋体" w:hAnsi="宋体" w:cs="宋体"/>
          <w:spacing w:val="-4"/>
          <w:position w:val="-4"/>
          <w:sz w:val="28"/>
          <w:szCs w:val="28"/>
          <w:lang w:eastAsia="zh-CN"/>
        </w:rPr>
        <w:t>—</w:t>
      </w:r>
    </w:p>
    <w:p w:rsidR="008E5365" w:rsidRDefault="008E5365">
      <w:pPr>
        <w:spacing w:line="190" w:lineRule="exact"/>
        <w:rPr>
          <w:rFonts w:ascii="宋体" w:eastAsia="宋体" w:hAnsi="宋体" w:cs="宋体"/>
          <w:sz w:val="28"/>
          <w:szCs w:val="28"/>
          <w:lang w:eastAsia="zh-CN"/>
        </w:rPr>
        <w:sectPr w:rsidR="008E5365">
          <w:footerReference w:type="default" r:id="rId11"/>
          <w:pgSz w:w="16839" w:h="11905"/>
          <w:pgMar w:top="1011" w:right="1419" w:bottom="400" w:left="1305" w:header="0" w:footer="0" w:gutter="0"/>
          <w:cols w:space="720"/>
        </w:sectPr>
      </w:pPr>
    </w:p>
    <w:p w:rsidR="008E5365" w:rsidRDefault="008E5365">
      <w:pPr>
        <w:spacing w:line="245" w:lineRule="auto"/>
        <w:rPr>
          <w:lang w:eastAsia="zh-CN"/>
        </w:rPr>
      </w:pPr>
    </w:p>
    <w:p w:rsidR="008E5365" w:rsidRDefault="008E5365">
      <w:pPr>
        <w:spacing w:line="245" w:lineRule="auto"/>
        <w:rPr>
          <w:lang w:eastAsia="zh-CN"/>
        </w:rPr>
      </w:pPr>
    </w:p>
    <w:p w:rsidR="008E5365" w:rsidRDefault="008E5365">
      <w:pPr>
        <w:spacing w:line="246" w:lineRule="auto"/>
        <w:rPr>
          <w:lang w:eastAsia="zh-CN"/>
        </w:rPr>
      </w:pPr>
    </w:p>
    <w:p w:rsidR="008E5365" w:rsidRDefault="00D75AAD">
      <w:pPr>
        <w:spacing w:before="101" w:line="230" w:lineRule="auto"/>
        <w:ind w:left="18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1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3</w:t>
      </w:r>
    </w:p>
    <w:p w:rsidR="008E5365" w:rsidRDefault="00D75AAD">
      <w:pPr>
        <w:spacing w:before="275" w:line="208" w:lineRule="auto"/>
        <w:ind w:left="1340"/>
        <w:outlineLvl w:val="0"/>
        <w:rPr>
          <w:rFonts w:ascii="FZXiaoBiaoSong-B05S" w:eastAsia="FZXiaoBiaoSong-B05S" w:hAnsi="FZXiaoBiaoSong-B05S" w:cs="FZXiaoBiaoSong-B05S"/>
          <w:sz w:val="43"/>
          <w:szCs w:val="43"/>
          <w:lang w:eastAsia="zh-CN"/>
        </w:rPr>
      </w:pPr>
      <w:r>
        <w:rPr>
          <w:rFonts w:ascii="FZXiaoBiaoSong-B05S" w:eastAsia="FZXiaoBiaoSong-B05S" w:hAnsi="FZXiaoBiaoSong-B05S" w:cs="FZXiaoBiaoSong-B05S"/>
          <w:spacing w:val="9"/>
          <w:sz w:val="43"/>
          <w:szCs w:val="43"/>
          <w:lang w:eastAsia="zh-CN"/>
        </w:rPr>
        <w:t>教育评价改革典型案例体例格式</w:t>
      </w:r>
    </w:p>
    <w:p w:rsidR="008E5365" w:rsidRDefault="00D75AAD">
      <w:pPr>
        <w:spacing w:before="118" w:line="401" w:lineRule="auto"/>
        <w:ind w:right="2" w:firstLine="1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bCs/>
          <w:spacing w:val="2"/>
          <w:sz w:val="28"/>
          <w:szCs w:val="28"/>
          <w:lang w:eastAsia="zh-CN"/>
        </w:rPr>
        <w:t>主题类别：</w:t>
      </w:r>
      <w:r>
        <w:rPr>
          <w:rFonts w:ascii="黑体" w:eastAsia="黑体" w:hAnsi="黑体" w:cs="黑体"/>
          <w:spacing w:val="2"/>
          <w:sz w:val="24"/>
          <w:szCs w:val="24"/>
          <w:lang w:eastAsia="zh-CN"/>
        </w:rPr>
        <w:t>党委政府评价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zh-CN"/>
        </w:rPr>
        <w:t>/</w:t>
      </w:r>
      <w:r>
        <w:rPr>
          <w:rFonts w:ascii="黑体" w:eastAsia="黑体" w:hAnsi="黑体" w:cs="黑体"/>
          <w:spacing w:val="2"/>
          <w:sz w:val="24"/>
          <w:szCs w:val="24"/>
          <w:lang w:eastAsia="zh-CN"/>
        </w:rPr>
        <w:t>学校评价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zh-CN"/>
        </w:rPr>
        <w:t>/</w:t>
      </w:r>
      <w:r>
        <w:rPr>
          <w:rFonts w:ascii="黑体" w:eastAsia="黑体" w:hAnsi="黑体" w:cs="黑体"/>
          <w:spacing w:val="2"/>
          <w:sz w:val="24"/>
          <w:szCs w:val="24"/>
          <w:lang w:eastAsia="zh-CN"/>
        </w:rPr>
        <w:t>教师评价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zh-CN"/>
        </w:rPr>
        <w:t>/</w:t>
      </w:r>
      <w:r>
        <w:rPr>
          <w:rFonts w:ascii="黑体" w:eastAsia="黑体" w:hAnsi="黑体" w:cs="黑体"/>
          <w:spacing w:val="2"/>
          <w:sz w:val="24"/>
          <w:szCs w:val="24"/>
          <w:lang w:eastAsia="zh-CN"/>
        </w:rPr>
        <w:t>学生评价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zh-CN"/>
        </w:rPr>
        <w:t>/</w:t>
      </w:r>
      <w:r>
        <w:rPr>
          <w:rFonts w:ascii="黑体" w:eastAsia="黑体" w:hAnsi="黑体" w:cs="黑体"/>
          <w:spacing w:val="1"/>
          <w:sz w:val="24"/>
          <w:szCs w:val="24"/>
          <w:lang w:eastAsia="zh-CN"/>
        </w:rPr>
        <w:t>用人评价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zh-CN"/>
        </w:rPr>
        <w:t>/</w:t>
      </w:r>
      <w:r>
        <w:rPr>
          <w:rFonts w:ascii="黑体" w:eastAsia="黑体" w:hAnsi="黑体" w:cs="黑体"/>
          <w:spacing w:val="1"/>
          <w:sz w:val="24"/>
          <w:szCs w:val="24"/>
          <w:lang w:eastAsia="zh-CN"/>
        </w:rPr>
        <w:t>教育评价改革组</w:t>
      </w:r>
      <w:r>
        <w:rPr>
          <w:rFonts w:ascii="黑体" w:eastAsia="黑体" w:hAnsi="黑体" w:cs="黑体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spacing w:val="-4"/>
          <w:sz w:val="24"/>
          <w:szCs w:val="24"/>
          <w:lang w:eastAsia="zh-CN"/>
        </w:rPr>
        <w:t>织实施</w:t>
      </w:r>
    </w:p>
    <w:p w:rsidR="008E5365" w:rsidRDefault="00D75AAD">
      <w:pPr>
        <w:spacing w:before="20" w:line="208" w:lineRule="auto"/>
        <w:ind w:left="1782"/>
        <w:outlineLvl w:val="0"/>
        <w:rPr>
          <w:rFonts w:ascii="FZXiaoBiaoSong-B05S" w:eastAsia="FZXiaoBiaoSong-B05S" w:hAnsi="FZXiaoBiaoSong-B05S" w:cs="FZXiaoBiaoSong-B05S"/>
          <w:sz w:val="43"/>
          <w:szCs w:val="43"/>
          <w:lang w:eastAsia="zh-CN"/>
        </w:rPr>
      </w:pPr>
      <w:r>
        <w:rPr>
          <w:rFonts w:ascii="FZXiaoBiaoSong-B05S" w:eastAsia="FZXiaoBiaoSong-B05S" w:hAnsi="FZXiaoBiaoSong-B05S" w:cs="FZXiaoBiaoSong-B05S"/>
          <w:spacing w:val="9"/>
          <w:sz w:val="43"/>
          <w:szCs w:val="43"/>
          <w:lang w:eastAsia="zh-CN"/>
        </w:rPr>
        <w:t>教育评价改革典型案例标题</w:t>
      </w:r>
    </w:p>
    <w:p w:rsidR="008E5365" w:rsidRDefault="00D75AAD">
      <w:pPr>
        <w:pStyle w:val="a3"/>
        <w:spacing w:before="305" w:line="219" w:lineRule="auto"/>
        <w:ind w:left="576"/>
        <w:rPr>
          <w:lang w:eastAsia="zh-CN"/>
        </w:rPr>
      </w:pPr>
      <w:r>
        <w:rPr>
          <w:spacing w:val="9"/>
          <w:lang w:eastAsia="zh-CN"/>
        </w:rPr>
        <w:t>（可提炼亮点或主题作为标题，二号方正小标宋简体）</w:t>
      </w:r>
    </w:p>
    <w:p w:rsidR="008E5365" w:rsidRDefault="00D75AAD">
      <w:pPr>
        <w:spacing w:before="271" w:line="218" w:lineRule="auto"/>
        <w:ind w:left="2531"/>
        <w:rPr>
          <w:rFonts w:ascii="楷体_GB2312" w:eastAsia="楷体_GB2312" w:hAnsi="楷体_GB2312" w:cs="楷体_GB2312"/>
          <w:sz w:val="31"/>
          <w:szCs w:val="31"/>
          <w:lang w:eastAsia="zh-CN"/>
        </w:rPr>
      </w:pPr>
      <w:r>
        <w:rPr>
          <w:rFonts w:ascii="楷体_GB2312" w:eastAsia="楷体_GB2312" w:hAnsi="楷体_GB2312" w:cs="楷体_GB2312"/>
          <w:spacing w:val="6"/>
          <w:sz w:val="31"/>
          <w:szCs w:val="31"/>
          <w:lang w:eastAsia="zh-CN"/>
        </w:rPr>
        <w:t>实施单位名称（三号楷体）</w:t>
      </w:r>
    </w:p>
    <w:p w:rsidR="008E5365" w:rsidRDefault="008E5365">
      <w:pPr>
        <w:spacing w:line="272" w:lineRule="auto"/>
        <w:rPr>
          <w:lang w:eastAsia="zh-CN"/>
        </w:rPr>
      </w:pPr>
    </w:p>
    <w:p w:rsidR="008E5365" w:rsidRDefault="008E5365">
      <w:pPr>
        <w:spacing w:line="272" w:lineRule="auto"/>
        <w:rPr>
          <w:lang w:eastAsia="zh-CN"/>
        </w:rPr>
      </w:pPr>
    </w:p>
    <w:p w:rsidR="008E5365" w:rsidRDefault="008E5365">
      <w:pPr>
        <w:spacing w:line="272" w:lineRule="auto"/>
        <w:rPr>
          <w:lang w:eastAsia="zh-CN"/>
        </w:rPr>
      </w:pPr>
    </w:p>
    <w:p w:rsidR="008E5365" w:rsidRDefault="00D75AAD">
      <w:pPr>
        <w:pStyle w:val="a3"/>
        <w:spacing w:before="101" w:line="223" w:lineRule="auto"/>
        <w:ind w:left="647"/>
        <w:rPr>
          <w:lang w:eastAsia="zh-CN"/>
        </w:rPr>
      </w:pPr>
      <w:r>
        <w:rPr>
          <w:rFonts w:ascii="黑体" w:eastAsia="黑体" w:hAnsi="黑体" w:cs="黑体"/>
          <w:spacing w:val="1"/>
          <w:lang w:eastAsia="zh-CN"/>
        </w:rPr>
        <w:t>一、概述</w:t>
      </w:r>
      <w:r>
        <w:rPr>
          <w:spacing w:val="1"/>
          <w:lang w:eastAsia="zh-CN"/>
        </w:rPr>
        <w:t>（不超过</w:t>
      </w:r>
      <w:r>
        <w:rPr>
          <w:spacing w:val="-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100</w:t>
      </w:r>
      <w:r>
        <w:rPr>
          <w:rFonts w:ascii="Times New Roman" w:eastAsia="Times New Roman" w:hAnsi="Times New Roman" w:cs="Times New Roman"/>
          <w:spacing w:val="35"/>
          <w:w w:val="101"/>
          <w:lang w:eastAsia="zh-CN"/>
        </w:rPr>
        <w:t xml:space="preserve"> </w:t>
      </w:r>
      <w:r>
        <w:rPr>
          <w:spacing w:val="1"/>
          <w:lang w:eastAsia="zh-CN"/>
        </w:rPr>
        <w:t>字）</w:t>
      </w:r>
    </w:p>
    <w:p w:rsidR="008E5365" w:rsidRDefault="00D75AAD">
      <w:pPr>
        <w:pStyle w:val="a3"/>
        <w:spacing w:before="186" w:line="225" w:lineRule="auto"/>
        <w:ind w:left="647"/>
        <w:rPr>
          <w:lang w:eastAsia="zh-CN"/>
        </w:rPr>
      </w:pPr>
      <w:r>
        <w:rPr>
          <w:rFonts w:ascii="黑体" w:eastAsia="黑体" w:hAnsi="黑体" w:cs="黑体"/>
          <w:spacing w:val="8"/>
          <w:lang w:eastAsia="zh-CN"/>
        </w:rPr>
        <w:t>二、做法和成效</w:t>
      </w:r>
      <w:r>
        <w:rPr>
          <w:spacing w:val="8"/>
          <w:lang w:eastAsia="zh-CN"/>
        </w:rPr>
        <w:t>（也可分成两部分介绍）</w:t>
      </w:r>
    </w:p>
    <w:p w:rsidR="008E5365" w:rsidRDefault="00D75AAD">
      <w:pPr>
        <w:pStyle w:val="a3"/>
        <w:spacing w:before="182" w:line="218" w:lineRule="auto"/>
        <w:ind w:left="647"/>
        <w:rPr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一级标题三号黑体，</w:t>
      </w:r>
      <w:r>
        <w:rPr>
          <w:rFonts w:ascii="楷体_GB2312" w:eastAsia="楷体_GB2312" w:hAnsi="楷体_GB2312" w:cs="楷体_GB2312"/>
          <w:spacing w:val="-2"/>
          <w:lang w:eastAsia="zh-CN"/>
        </w:rPr>
        <w:t>二级标题三号楷体。</w:t>
      </w:r>
      <w:r>
        <w:rPr>
          <w:spacing w:val="-2"/>
          <w:lang w:eastAsia="zh-CN"/>
        </w:rPr>
        <w:t>正文</w:t>
      </w:r>
      <w:r>
        <w:rPr>
          <w:spacing w:val="-3"/>
          <w:lang w:eastAsia="zh-CN"/>
        </w:rPr>
        <w:t>用三号仿宋。</w:t>
      </w:r>
    </w:p>
    <w:p w:rsidR="008E5365" w:rsidRDefault="00D75AAD">
      <w:pPr>
        <w:pStyle w:val="a3"/>
        <w:spacing w:before="193" w:line="233" w:lineRule="auto"/>
        <w:ind w:left="473"/>
        <w:rPr>
          <w:rFonts w:ascii="Times New Roman" w:eastAsia="Times New Roman" w:hAnsi="Times New Roman" w:cs="Times New Roman"/>
          <w:lang w:eastAsia="zh-CN"/>
        </w:rPr>
      </w:pPr>
      <w:r>
        <w:rPr>
          <w:spacing w:val="14"/>
          <w:lang w:eastAsia="zh-CN"/>
        </w:rPr>
        <w:t>（一）</w:t>
      </w:r>
      <w:r>
        <w:rPr>
          <w:rFonts w:ascii="Times New Roman" w:eastAsia="Times New Roman" w:hAnsi="Times New Roman" w:cs="Times New Roman"/>
          <w:spacing w:val="14"/>
          <w:lang w:eastAsia="zh-CN"/>
        </w:rPr>
        <w:t>……</w:t>
      </w:r>
    </w:p>
    <w:p w:rsidR="008E5365" w:rsidRDefault="00D75AAD">
      <w:pPr>
        <w:pStyle w:val="a3"/>
        <w:spacing w:before="171" w:line="233" w:lineRule="auto"/>
        <w:ind w:left="473"/>
        <w:rPr>
          <w:rFonts w:ascii="Times New Roman" w:eastAsia="Times New Roman" w:hAnsi="Times New Roman" w:cs="Times New Roman"/>
        </w:rPr>
      </w:pPr>
      <w:r>
        <w:rPr>
          <w:spacing w:val="14"/>
        </w:rPr>
        <w:t>（二）</w:t>
      </w:r>
      <w:r>
        <w:rPr>
          <w:rFonts w:ascii="Times New Roman" w:eastAsia="Times New Roman" w:hAnsi="Times New Roman" w:cs="Times New Roman"/>
          <w:spacing w:val="14"/>
        </w:rPr>
        <w:t>……</w:t>
      </w:r>
    </w:p>
    <w:p w:rsidR="008E5365" w:rsidRDefault="00D75AAD">
      <w:pPr>
        <w:pStyle w:val="a3"/>
        <w:spacing w:before="168" w:line="233" w:lineRule="auto"/>
        <w:ind w:left="473"/>
        <w:rPr>
          <w:rFonts w:ascii="Times New Roman" w:eastAsia="Times New Roman" w:hAnsi="Times New Roman" w:cs="Times New Roman"/>
        </w:rPr>
      </w:pPr>
      <w:r>
        <w:rPr>
          <w:spacing w:val="14"/>
        </w:rPr>
        <w:t>（三）</w:t>
      </w:r>
      <w:r>
        <w:rPr>
          <w:rFonts w:ascii="Times New Roman" w:eastAsia="Times New Roman" w:hAnsi="Times New Roman" w:cs="Times New Roman"/>
          <w:spacing w:val="14"/>
        </w:rPr>
        <w:t>……</w:t>
      </w:r>
    </w:p>
    <w:p w:rsidR="008E5365" w:rsidRDefault="008E5365">
      <w:pPr>
        <w:spacing w:line="319" w:lineRule="auto"/>
      </w:pPr>
    </w:p>
    <w:p w:rsidR="008E5365" w:rsidRDefault="00D75AAD">
      <w:pPr>
        <w:spacing w:before="90" w:line="97" w:lineRule="exact"/>
        <w:ind w:left="504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pacing w:val="4"/>
          <w:position w:val="2"/>
          <w:sz w:val="31"/>
          <w:szCs w:val="31"/>
        </w:rPr>
        <w:t>……</w:t>
      </w:r>
    </w:p>
    <w:p w:rsidR="008E5365" w:rsidRDefault="008E5365">
      <w:pPr>
        <w:spacing w:line="260" w:lineRule="auto"/>
      </w:pPr>
    </w:p>
    <w:p w:rsidR="008E5365" w:rsidRDefault="008E5365">
      <w:pPr>
        <w:spacing w:line="260" w:lineRule="auto"/>
      </w:pPr>
    </w:p>
    <w:p w:rsidR="008E5365" w:rsidRDefault="008E5365">
      <w:pPr>
        <w:spacing w:line="260" w:lineRule="auto"/>
      </w:pPr>
    </w:p>
    <w:p w:rsidR="008E5365" w:rsidRDefault="008E5365">
      <w:pPr>
        <w:spacing w:line="260" w:lineRule="auto"/>
      </w:pPr>
    </w:p>
    <w:p w:rsidR="008E5365" w:rsidRDefault="008E5365">
      <w:pPr>
        <w:spacing w:line="261" w:lineRule="auto"/>
      </w:pPr>
    </w:p>
    <w:p w:rsidR="008E5365" w:rsidRDefault="008E5365">
      <w:pPr>
        <w:spacing w:line="261" w:lineRule="auto"/>
      </w:pPr>
    </w:p>
    <w:p w:rsidR="008E5365" w:rsidRDefault="008E5365">
      <w:pPr>
        <w:spacing w:line="261" w:lineRule="auto"/>
      </w:pPr>
    </w:p>
    <w:p w:rsidR="008E5365" w:rsidRDefault="008E5365">
      <w:pPr>
        <w:spacing w:line="261" w:lineRule="auto"/>
      </w:pPr>
    </w:p>
    <w:p w:rsidR="008E5365" w:rsidRDefault="008E5365">
      <w:pPr>
        <w:spacing w:line="261" w:lineRule="auto"/>
      </w:pPr>
    </w:p>
    <w:p w:rsidR="008E5365" w:rsidRDefault="00D75AAD">
      <w:pPr>
        <w:pStyle w:val="a3"/>
        <w:spacing w:before="102" w:line="219" w:lineRule="auto"/>
        <w:ind w:left="481"/>
        <w:rPr>
          <w:lang w:eastAsia="zh-CN"/>
        </w:rPr>
      </w:pPr>
      <w:r>
        <w:rPr>
          <w:spacing w:val="6"/>
          <w:lang w:eastAsia="zh-CN"/>
        </w:rPr>
        <w:t>联系人和电话：</w:t>
      </w:r>
    </w:p>
    <w:p w:rsidR="008E5365" w:rsidRDefault="00D75AAD">
      <w:pPr>
        <w:pStyle w:val="a3"/>
        <w:spacing w:before="191" w:line="219" w:lineRule="auto"/>
        <w:ind w:left="518"/>
        <w:rPr>
          <w:lang w:eastAsia="zh-CN"/>
        </w:rPr>
      </w:pPr>
      <w:r>
        <w:rPr>
          <w:spacing w:val="-3"/>
          <w:lang w:eastAsia="zh-CN"/>
        </w:rPr>
        <w:t>电子邮箱：</w:t>
      </w:r>
    </w:p>
    <w:p w:rsidR="008E5365" w:rsidRDefault="008E5365">
      <w:pPr>
        <w:spacing w:line="219" w:lineRule="auto"/>
        <w:rPr>
          <w:lang w:eastAsia="zh-CN"/>
        </w:rPr>
        <w:sectPr w:rsidR="008E5365">
          <w:footerReference w:type="default" r:id="rId12"/>
          <w:pgSz w:w="11905" w:h="16839"/>
          <w:pgMar w:top="1431" w:right="1471" w:bottom="1910" w:left="1597" w:header="0" w:footer="1546" w:gutter="0"/>
          <w:cols w:space="720"/>
        </w:sect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8E5365">
      <w:pPr>
        <w:spacing w:line="241" w:lineRule="auto"/>
        <w:rPr>
          <w:lang w:eastAsia="zh-CN"/>
        </w:rPr>
      </w:pPr>
    </w:p>
    <w:p w:rsidR="008E5365" w:rsidRDefault="00D75AAD">
      <w:pPr>
        <w:pStyle w:val="a3"/>
        <w:spacing w:before="101" w:line="352" w:lineRule="auto"/>
        <w:ind w:right="5653" w:firstLine="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8"/>
          <w:lang w:eastAsia="zh-CN"/>
        </w:rPr>
        <w:t>公开方式：</w:t>
      </w:r>
      <w:r>
        <w:rPr>
          <w:spacing w:val="8"/>
          <w:lang w:eastAsia="zh-CN"/>
        </w:rPr>
        <w:t>不予公开</w:t>
      </w:r>
      <w:r>
        <w:rPr>
          <w:spacing w:val="1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—</w:t>
      </w:r>
      <w:r>
        <w:rPr>
          <w:rFonts w:ascii="宋体" w:eastAsia="宋体" w:hAnsi="宋体" w:cs="宋体"/>
          <w:spacing w:val="1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8</w:t>
      </w:r>
      <w:r>
        <w:rPr>
          <w:rFonts w:ascii="宋体" w:eastAsia="宋体" w:hAnsi="宋体" w:cs="宋体"/>
          <w:spacing w:val="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—</w:t>
      </w:r>
    </w:p>
    <w:sectPr w:rsidR="008E5365">
      <w:footerReference w:type="default" r:id="rId13"/>
      <w:pgSz w:w="11905" w:h="16839"/>
      <w:pgMar w:top="1431" w:right="1785" w:bottom="400" w:left="159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AD" w:rsidRDefault="00D75AAD">
      <w:r>
        <w:separator/>
      </w:r>
    </w:p>
  </w:endnote>
  <w:endnote w:type="continuationSeparator" w:id="0">
    <w:p w:rsidR="00D75AAD" w:rsidRDefault="00D7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 Unicode MS"/>
    <w:charset w:val="86"/>
    <w:family w:val="auto"/>
    <w:pitch w:val="variable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65" w:rsidRDefault="00D75AAD">
    <w:pPr>
      <w:spacing w:line="235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—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4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65" w:rsidRDefault="00D75AAD">
    <w:pPr>
      <w:spacing w:line="233" w:lineRule="auto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3"/>
        <w:sz w:val="28"/>
        <w:szCs w:val="28"/>
      </w:rPr>
      <w:t>—</w:t>
    </w:r>
    <w:r>
      <w:rPr>
        <w:rFonts w:ascii="宋体" w:eastAsia="宋体" w:hAnsi="宋体" w:cs="宋体"/>
        <w:spacing w:val="16"/>
        <w:sz w:val="28"/>
        <w:szCs w:val="28"/>
      </w:rPr>
      <w:t xml:space="preserve"> </w:t>
    </w:r>
    <w:r>
      <w:rPr>
        <w:rFonts w:ascii="宋体" w:eastAsia="宋体" w:hAnsi="宋体" w:cs="宋体"/>
        <w:spacing w:val="-12"/>
        <w:sz w:val="28"/>
        <w:szCs w:val="28"/>
      </w:rPr>
      <w:t>5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65" w:rsidRDefault="008E5365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65" w:rsidRDefault="00D75AAD">
    <w:pPr>
      <w:spacing w:line="233" w:lineRule="auto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3"/>
        <w:sz w:val="28"/>
        <w:szCs w:val="28"/>
      </w:rPr>
      <w:t>—</w:t>
    </w:r>
    <w:r>
      <w:rPr>
        <w:rFonts w:ascii="宋体" w:eastAsia="宋体" w:hAnsi="宋体" w:cs="宋体"/>
        <w:spacing w:val="16"/>
        <w:sz w:val="28"/>
        <w:szCs w:val="28"/>
      </w:rPr>
      <w:t xml:space="preserve"> </w:t>
    </w:r>
    <w:r>
      <w:rPr>
        <w:rFonts w:ascii="宋体" w:eastAsia="宋体" w:hAnsi="宋体" w:cs="宋体"/>
        <w:spacing w:val="-12"/>
        <w:sz w:val="28"/>
        <w:szCs w:val="28"/>
      </w:rPr>
      <w:t>7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65" w:rsidRDefault="008E536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AD" w:rsidRDefault="00D75AAD">
      <w:r>
        <w:separator/>
      </w:r>
    </w:p>
  </w:footnote>
  <w:footnote w:type="continuationSeparator" w:id="0">
    <w:p w:rsidR="00D75AAD" w:rsidRDefault="00D75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8E5365"/>
    <w:rsid w:val="008E5365"/>
    <w:rsid w:val="00B47288"/>
    <w:rsid w:val="00D7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Balloon Text"/>
    <w:basedOn w:val="a"/>
    <w:link w:val="Char"/>
    <w:uiPriority w:val="99"/>
    <w:semiHidden/>
    <w:unhideWhenUsed/>
    <w:rsid w:val="00B4728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47288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472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47288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472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47288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Balloon Text"/>
    <w:basedOn w:val="a"/>
    <w:link w:val="Char"/>
    <w:uiPriority w:val="99"/>
    <w:semiHidden/>
    <w:unhideWhenUsed/>
    <w:rsid w:val="00B4728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47288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472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47288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472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4728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jx.cn/vm/QBmzCNW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广东省教育厅办公室关于征集第五批教育评价改革典型案例的通知</dc:title>
  <dc:creator>uos</dc:creator>
  <cp:lastModifiedBy>邓玉��</cp:lastModifiedBy>
  <cp:revision>2</cp:revision>
  <dcterms:created xsi:type="dcterms:W3CDTF">2025-09-10T15:02:00Z</dcterms:created>
  <dcterms:modified xsi:type="dcterms:W3CDTF">2025-09-11T02:38:00Z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2025-09-11T10:21:47Z</vt:filetime>
  </property>
</Properties>
</file>